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宋体" w:hAnsi="宋体"/>
          <w:b/>
          <w:color w:val="000000"/>
          <w:sz w:val="32"/>
          <w:szCs w:val="32"/>
        </w:rPr>
      </w:pPr>
      <w:bookmarkStart w:id="0" w:name="_Toc436245272"/>
      <w:bookmarkStart w:id="1" w:name="_Toc447617815"/>
      <w:bookmarkStart w:id="2" w:name="_Toc447626015"/>
      <w:bookmarkStart w:id="3" w:name="_Toc436224448"/>
      <w:r>
        <w:rPr>
          <w:rFonts w:hint="eastAsia" w:ascii="宋体" w:hAnsi="宋体"/>
          <w:b/>
          <w:color w:val="000000"/>
          <w:sz w:val="32"/>
          <w:szCs w:val="32"/>
        </w:rPr>
        <w:t>普通高等学校本科专业认证通用标准</w:t>
      </w:r>
      <w:bookmarkEnd w:id="0"/>
      <w:bookmarkEnd w:id="1"/>
      <w:bookmarkEnd w:id="2"/>
    </w:p>
    <w:p>
      <w:pPr>
        <w:ind w:firstLine="2650" w:firstLineChars="1100"/>
        <w:jc w:val="both"/>
        <w:rPr>
          <w:rFonts w:hint="default" w:eastAsia="宋体"/>
          <w:sz w:val="24"/>
          <w:szCs w:val="24"/>
          <w:lang w:val="en-US" w:eastAsia="zh-CN"/>
        </w:rPr>
      </w:pPr>
      <w:bookmarkStart w:id="4" w:name="_GoBack"/>
      <w:bookmarkEnd w:id="4"/>
      <w:r>
        <w:rPr>
          <w:rFonts w:hint="eastAsia" w:ascii="宋体" w:hAnsi="宋体"/>
          <w:b/>
          <w:color w:val="000000"/>
          <w:sz w:val="24"/>
          <w:szCs w:val="24"/>
          <w:lang w:val="en-US" w:eastAsia="zh-CN"/>
        </w:rPr>
        <w:t>(人文社科类专业通用)</w:t>
      </w:r>
    </w:p>
    <w:p>
      <w:pPr>
        <w:rPr>
          <w:rFonts w:ascii="宋体"/>
        </w:rPr>
      </w:pP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95"/>
        <w:gridCol w:w="67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blHeader/>
        </w:trPr>
        <w:tc>
          <w:tcPr>
            <w:tcW w:w="1053" w:type="pct"/>
            <w:vAlign w:val="center"/>
          </w:tcPr>
          <w:p>
            <w:pPr>
              <w:jc w:val="center"/>
              <w:rPr>
                <w:rFonts w:ascii="宋体" w:cs="宋体"/>
                <w:b/>
                <w:bCs/>
                <w:kern w:val="0"/>
                <w:szCs w:val="21"/>
              </w:rPr>
            </w:pPr>
            <w:r>
              <w:rPr>
                <w:rFonts w:hint="eastAsia" w:ascii="宋体" w:hAnsi="宋体" w:cs="宋体"/>
                <w:b/>
                <w:bCs/>
                <w:kern w:val="0"/>
                <w:szCs w:val="21"/>
              </w:rPr>
              <w:t>标准项</w:t>
            </w:r>
          </w:p>
        </w:tc>
        <w:tc>
          <w:tcPr>
            <w:tcW w:w="3947" w:type="pct"/>
            <w:vAlign w:val="center"/>
          </w:tcPr>
          <w:p>
            <w:pPr>
              <w:jc w:val="center"/>
              <w:rPr>
                <w:rFonts w:ascii="宋体" w:cs="宋体"/>
                <w:b/>
                <w:bCs/>
                <w:kern w:val="0"/>
                <w:szCs w:val="21"/>
              </w:rPr>
            </w:pPr>
            <w:r>
              <w:rPr>
                <w:rFonts w:hint="eastAsia" w:ascii="宋体" w:hAnsi="宋体" w:cs="宋体"/>
                <w:b/>
                <w:bCs/>
                <w:kern w:val="0"/>
                <w:szCs w:val="21"/>
              </w:rPr>
              <w:t>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1053" w:type="pct"/>
            <w:vMerge w:val="restart"/>
            <w:vAlign w:val="center"/>
          </w:tcPr>
          <w:p>
            <w:pPr>
              <w:widowControl/>
              <w:jc w:val="center"/>
              <w:rPr>
                <w:rFonts w:ascii="宋体" w:cs="宋体"/>
                <w:color w:val="000000"/>
                <w:kern w:val="0"/>
                <w:szCs w:val="21"/>
              </w:rPr>
            </w:pPr>
            <w:r>
              <w:rPr>
                <w:rFonts w:hint="eastAsia" w:ascii="宋体" w:hAnsi="宋体" w:cs="宋体"/>
                <w:color w:val="000000"/>
                <w:kern w:val="0"/>
                <w:szCs w:val="21"/>
              </w:rPr>
              <w:t>学生发展</w:t>
            </w:r>
          </w:p>
        </w:tc>
        <w:tc>
          <w:tcPr>
            <w:tcW w:w="3947" w:type="pct"/>
          </w:tcPr>
          <w:p>
            <w:pPr>
              <w:widowControl/>
              <w:spacing w:line="360" w:lineRule="auto"/>
              <w:jc w:val="left"/>
              <w:rPr>
                <w:rFonts w:ascii="宋体" w:cs="宋体"/>
                <w:color w:val="000000"/>
                <w:kern w:val="0"/>
                <w:szCs w:val="21"/>
              </w:rPr>
            </w:pPr>
            <w:r>
              <w:rPr>
                <w:rFonts w:ascii="宋体" w:hAnsi="宋体" w:cs="宋体"/>
                <w:color w:val="000000"/>
                <w:kern w:val="0"/>
                <w:szCs w:val="21"/>
              </w:rPr>
              <w:t xml:space="preserve">1.1 </w:t>
            </w:r>
            <w:r>
              <w:rPr>
                <w:rFonts w:hint="eastAsia" w:ascii="宋体" w:hAnsi="宋体" w:cs="宋体"/>
                <w:color w:val="000000"/>
                <w:kern w:val="0"/>
                <w:szCs w:val="21"/>
              </w:rPr>
              <w:t>专业应有明确、合理的学生管理规章制度，包括招生、转学、转专业和毕业等，并有效执行。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53" w:type="pct"/>
            <w:vMerge w:val="continue"/>
            <w:vAlign w:val="center"/>
          </w:tcPr>
          <w:p>
            <w:pPr>
              <w:widowControl/>
              <w:jc w:val="left"/>
              <w:rPr>
                <w:rFonts w:ascii="宋体" w:cs="宋体"/>
                <w:color w:val="000000"/>
                <w:kern w:val="0"/>
                <w:szCs w:val="21"/>
              </w:rPr>
            </w:pPr>
          </w:p>
        </w:tc>
        <w:tc>
          <w:tcPr>
            <w:tcW w:w="3947" w:type="pct"/>
          </w:tcPr>
          <w:p>
            <w:pPr>
              <w:widowControl/>
              <w:spacing w:line="360" w:lineRule="auto"/>
              <w:jc w:val="left"/>
              <w:rPr>
                <w:rFonts w:ascii="宋体" w:cs="宋体"/>
                <w:color w:val="000000"/>
                <w:kern w:val="0"/>
                <w:szCs w:val="21"/>
              </w:rPr>
            </w:pPr>
            <w:r>
              <w:rPr>
                <w:rFonts w:ascii="宋体" w:hAnsi="宋体" w:cs="宋体"/>
                <w:color w:val="000000"/>
                <w:kern w:val="0"/>
                <w:szCs w:val="21"/>
              </w:rPr>
              <w:t>1.2</w:t>
            </w:r>
            <w:r>
              <w:rPr>
                <w:rFonts w:hint="eastAsia" w:ascii="宋体" w:hAnsi="宋体" w:cs="宋体"/>
                <w:color w:val="000000"/>
                <w:kern w:val="0"/>
                <w:szCs w:val="21"/>
              </w:rPr>
              <w:t>专业有完善的学生指导制度和措施，包括学习指导、职业规划、就业指导、心理辅导等，并有效执行。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053" w:type="pct"/>
            <w:vMerge w:val="continue"/>
            <w:vAlign w:val="center"/>
          </w:tcPr>
          <w:p>
            <w:pPr>
              <w:widowControl/>
              <w:jc w:val="left"/>
              <w:rPr>
                <w:rFonts w:ascii="宋体" w:cs="宋体"/>
                <w:color w:val="000000"/>
                <w:kern w:val="0"/>
                <w:szCs w:val="21"/>
              </w:rPr>
            </w:pPr>
          </w:p>
        </w:tc>
        <w:tc>
          <w:tcPr>
            <w:tcW w:w="3947" w:type="pct"/>
          </w:tcPr>
          <w:p>
            <w:pPr>
              <w:widowControl/>
              <w:spacing w:line="360" w:lineRule="auto"/>
              <w:jc w:val="left"/>
              <w:rPr>
                <w:rFonts w:ascii="宋体" w:cs="宋体"/>
                <w:color w:val="000000"/>
                <w:kern w:val="0"/>
                <w:szCs w:val="21"/>
              </w:rPr>
            </w:pPr>
            <w:r>
              <w:rPr>
                <w:rFonts w:ascii="宋体" w:hAnsi="宋体" w:cs="宋体"/>
                <w:color w:val="000000"/>
                <w:kern w:val="0"/>
                <w:szCs w:val="21"/>
              </w:rPr>
              <w:t xml:space="preserve">1.3 </w:t>
            </w:r>
            <w:r>
              <w:rPr>
                <w:rFonts w:hint="eastAsia" w:ascii="宋体" w:hAnsi="宋体" w:cs="宋体"/>
                <w:color w:val="000000"/>
                <w:kern w:val="0"/>
                <w:szCs w:val="21"/>
              </w:rPr>
              <w:t>专业必须对学生在整个学习过程中的表现进行跟踪与评估，并通过形成性评价保证学生毕业时满足专业制定的学习成果要求。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1053" w:type="pct"/>
            <w:vMerge w:val="restart"/>
            <w:vAlign w:val="center"/>
          </w:tcPr>
          <w:p>
            <w:pPr>
              <w:widowControl/>
              <w:jc w:val="center"/>
              <w:rPr>
                <w:rFonts w:ascii="宋体" w:cs="宋体"/>
                <w:color w:val="000000"/>
                <w:kern w:val="0"/>
                <w:szCs w:val="21"/>
              </w:rPr>
            </w:pPr>
            <w:r>
              <w:rPr>
                <w:rFonts w:hint="eastAsia" w:ascii="宋体" w:hAnsi="宋体" w:cs="宋体"/>
                <w:color w:val="000000"/>
                <w:kern w:val="0"/>
                <w:szCs w:val="21"/>
              </w:rPr>
              <w:t>培养目标</w:t>
            </w:r>
          </w:p>
        </w:tc>
        <w:tc>
          <w:tcPr>
            <w:tcW w:w="3947" w:type="pct"/>
          </w:tcPr>
          <w:p>
            <w:pPr>
              <w:widowControl/>
              <w:spacing w:line="360" w:lineRule="auto"/>
              <w:jc w:val="left"/>
              <w:rPr>
                <w:rFonts w:ascii="宋体" w:cs="宋体"/>
                <w:color w:val="000000"/>
                <w:kern w:val="0"/>
                <w:szCs w:val="21"/>
              </w:rPr>
            </w:pPr>
            <w:r>
              <w:rPr>
                <w:rFonts w:ascii="宋体" w:hAnsi="宋体" w:cs="宋体"/>
                <w:color w:val="000000"/>
                <w:kern w:val="0"/>
                <w:szCs w:val="21"/>
              </w:rPr>
              <w:t xml:space="preserve">2.1 </w:t>
            </w:r>
            <w:r>
              <w:rPr>
                <w:rFonts w:hint="eastAsia" w:ascii="宋体" w:hAnsi="宋体" w:cs="宋体"/>
                <w:color w:val="000000"/>
                <w:kern w:val="0"/>
                <w:szCs w:val="21"/>
              </w:rPr>
              <w:t>专业有公开、符合学校定位、适应经济社会发展需求的培养目标。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1053" w:type="pct"/>
            <w:vMerge w:val="continue"/>
            <w:vAlign w:val="center"/>
          </w:tcPr>
          <w:p>
            <w:pPr>
              <w:widowControl/>
              <w:jc w:val="left"/>
              <w:rPr>
                <w:rFonts w:ascii="宋体" w:cs="宋体"/>
                <w:color w:val="000000"/>
                <w:kern w:val="0"/>
                <w:szCs w:val="21"/>
              </w:rPr>
            </w:pPr>
          </w:p>
        </w:tc>
        <w:tc>
          <w:tcPr>
            <w:tcW w:w="3947" w:type="pct"/>
          </w:tcPr>
          <w:p>
            <w:pPr>
              <w:widowControl/>
              <w:spacing w:line="360" w:lineRule="auto"/>
              <w:jc w:val="left"/>
              <w:rPr>
                <w:rFonts w:ascii="宋体" w:cs="宋体"/>
                <w:color w:val="000000"/>
                <w:kern w:val="0"/>
                <w:szCs w:val="21"/>
              </w:rPr>
            </w:pPr>
            <w:r>
              <w:rPr>
                <w:rFonts w:ascii="宋体" w:hAnsi="宋体" w:cs="宋体"/>
                <w:color w:val="000000"/>
                <w:kern w:val="0"/>
                <w:szCs w:val="21"/>
              </w:rPr>
              <w:t xml:space="preserve">2.2 </w:t>
            </w:r>
            <w:r>
              <w:rPr>
                <w:rFonts w:hint="eastAsia" w:ascii="宋体" w:hAnsi="宋体" w:cs="宋体"/>
                <w:color w:val="000000"/>
                <w:kern w:val="0"/>
                <w:szCs w:val="21"/>
              </w:rPr>
              <w:t>专业必须对培养目标的合理性进行定期评价，并根据评价结果对培养目标进行修订，评价与修订过程有本专业领域实务部门专家和毕业生代表参与。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trPr>
        <w:tc>
          <w:tcPr>
            <w:tcW w:w="1053" w:type="pct"/>
            <w:vMerge w:val="restart"/>
            <w:vAlign w:val="center"/>
          </w:tcPr>
          <w:p>
            <w:pPr>
              <w:jc w:val="center"/>
              <w:rPr>
                <w:rFonts w:ascii="宋体" w:cs="宋体"/>
                <w:color w:val="000000"/>
                <w:kern w:val="0"/>
                <w:szCs w:val="21"/>
              </w:rPr>
            </w:pPr>
            <w:r>
              <w:rPr>
                <w:rFonts w:hint="eastAsia" w:ascii="宋体" w:hAnsi="宋体" w:cs="宋体"/>
                <w:color w:val="000000"/>
                <w:kern w:val="0"/>
                <w:szCs w:val="21"/>
              </w:rPr>
              <w:t>学习成果</w:t>
            </w:r>
          </w:p>
        </w:tc>
        <w:tc>
          <w:tcPr>
            <w:tcW w:w="3947" w:type="pct"/>
          </w:tcPr>
          <w:p>
            <w:pPr>
              <w:spacing w:line="360" w:lineRule="auto"/>
              <w:jc w:val="left"/>
              <w:rPr>
                <w:rFonts w:ascii="宋体" w:cs="宋体"/>
                <w:color w:val="000000"/>
                <w:kern w:val="0"/>
                <w:szCs w:val="21"/>
              </w:rPr>
            </w:pPr>
            <w:r>
              <w:rPr>
                <w:rFonts w:ascii="宋体" w:hAnsi="宋体" w:cs="宋体"/>
                <w:color w:val="000000"/>
                <w:kern w:val="0"/>
                <w:szCs w:val="21"/>
              </w:rPr>
              <w:t>3.1</w:t>
            </w:r>
            <w:r>
              <w:rPr>
                <w:rFonts w:hint="eastAsia" w:ascii="宋体" w:hAnsi="宋体" w:cs="宋体"/>
                <w:color w:val="000000"/>
                <w:kern w:val="0"/>
                <w:szCs w:val="21"/>
              </w:rPr>
              <w:t>专业应有明确、公开、可衡量的学习成果要求，专业学习成果要求应能支撑培养目标的达成。专业必须通过评价证明学生成果要求的达成。专业制定的学习成果要求应体现本专业特色并完全覆盖以下内容：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5" w:hRule="atLeast"/>
        </w:trPr>
        <w:tc>
          <w:tcPr>
            <w:tcW w:w="1053" w:type="pct"/>
            <w:vMerge w:val="continue"/>
            <w:vAlign w:val="center"/>
          </w:tcPr>
          <w:p>
            <w:pPr>
              <w:jc w:val="center"/>
              <w:rPr>
                <w:rFonts w:ascii="宋体" w:cs="宋体"/>
                <w:color w:val="000000"/>
                <w:kern w:val="0"/>
                <w:szCs w:val="21"/>
              </w:rPr>
            </w:pPr>
          </w:p>
        </w:tc>
        <w:tc>
          <w:tcPr>
            <w:tcW w:w="3947" w:type="pct"/>
          </w:tcPr>
          <w:p>
            <w:pPr>
              <w:spacing w:line="360" w:lineRule="auto"/>
              <w:jc w:val="left"/>
              <w:rPr>
                <w:rFonts w:ascii="宋体" w:cs="宋体"/>
                <w:color w:val="000000"/>
                <w:kern w:val="0"/>
                <w:szCs w:val="21"/>
              </w:rPr>
            </w:pPr>
            <w:r>
              <w:rPr>
                <w:rFonts w:ascii="宋体" w:hAnsi="宋体" w:cs="宋体"/>
                <w:color w:val="000000"/>
                <w:kern w:val="0"/>
                <w:szCs w:val="21"/>
              </w:rPr>
              <w:t>3.2</w:t>
            </w:r>
            <w:r>
              <w:rPr>
                <w:rFonts w:hint="eastAsia" w:ascii="宋体" w:hAnsi="宋体" w:cs="宋体"/>
                <w:color w:val="000000"/>
                <w:kern w:val="0"/>
                <w:szCs w:val="21"/>
              </w:rPr>
              <w:t>能够掌握通识教育类、学科基础类、专业基础类、专业类知识并将所学知识用于解释、解释本专业领域现象和问题。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1053" w:type="pct"/>
            <w:vMerge w:val="continue"/>
            <w:vAlign w:val="center"/>
          </w:tcPr>
          <w:p>
            <w:pPr>
              <w:jc w:val="center"/>
              <w:rPr>
                <w:rFonts w:ascii="宋体" w:cs="宋体"/>
                <w:color w:val="000000"/>
                <w:kern w:val="0"/>
                <w:szCs w:val="21"/>
              </w:rPr>
            </w:pPr>
          </w:p>
        </w:tc>
        <w:tc>
          <w:tcPr>
            <w:tcW w:w="3947" w:type="pct"/>
          </w:tcPr>
          <w:p>
            <w:pPr>
              <w:spacing w:line="360" w:lineRule="auto"/>
              <w:jc w:val="left"/>
              <w:rPr>
                <w:rFonts w:ascii="宋体" w:cs="宋体"/>
                <w:color w:val="000000"/>
                <w:kern w:val="0"/>
                <w:szCs w:val="21"/>
              </w:rPr>
            </w:pPr>
            <w:r>
              <w:rPr>
                <w:rFonts w:ascii="宋体" w:hAnsi="宋体" w:cs="宋体"/>
                <w:color w:val="000000"/>
                <w:kern w:val="0"/>
                <w:szCs w:val="21"/>
              </w:rPr>
              <w:t>3.3</w:t>
            </w:r>
            <w:r>
              <w:rPr>
                <w:rFonts w:hint="eastAsia" w:ascii="宋体" w:hAnsi="宋体" w:cs="宋体"/>
                <w:color w:val="000000"/>
                <w:kern w:val="0"/>
                <w:szCs w:val="21"/>
              </w:rPr>
              <w:t>能够应用本学科基本原理和方法对本专业领域现象和问题进行判断、分析和研究，提出相应对策和建议，并形成解决方案。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1053" w:type="pct"/>
            <w:vMerge w:val="continue"/>
            <w:vAlign w:val="center"/>
          </w:tcPr>
          <w:p>
            <w:pPr>
              <w:widowControl/>
              <w:jc w:val="center"/>
              <w:rPr>
                <w:rFonts w:ascii="宋体" w:cs="宋体"/>
                <w:color w:val="000000"/>
                <w:kern w:val="0"/>
                <w:szCs w:val="21"/>
              </w:rPr>
            </w:pPr>
          </w:p>
        </w:tc>
        <w:tc>
          <w:tcPr>
            <w:tcW w:w="3947" w:type="pct"/>
          </w:tcPr>
          <w:p>
            <w:pPr>
              <w:spacing w:line="360" w:lineRule="auto"/>
              <w:jc w:val="left"/>
              <w:rPr>
                <w:rFonts w:ascii="宋体" w:cs="宋体"/>
                <w:color w:val="000000"/>
                <w:kern w:val="0"/>
                <w:szCs w:val="21"/>
              </w:rPr>
            </w:pPr>
            <w:r>
              <w:rPr>
                <w:rFonts w:ascii="宋体" w:hAnsi="宋体" w:cs="宋体"/>
                <w:color w:val="000000"/>
                <w:kern w:val="0"/>
                <w:szCs w:val="21"/>
              </w:rPr>
              <w:t>3.4</w:t>
            </w:r>
            <w:r>
              <w:rPr>
                <w:rFonts w:hint="eastAsia" w:ascii="宋体" w:hAnsi="宋体" w:cs="宋体"/>
                <w:color w:val="000000"/>
                <w:kern w:val="0"/>
                <w:szCs w:val="21"/>
              </w:rPr>
              <w:t>能够选择与使用恰当的现代信息技术工具对本专业领域数据信息进行收集和分析处理，用于完成所从事的专业领域活动。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1053" w:type="pct"/>
            <w:vMerge w:val="continue"/>
            <w:vAlign w:val="center"/>
          </w:tcPr>
          <w:p>
            <w:pPr>
              <w:widowControl/>
              <w:jc w:val="center"/>
              <w:rPr>
                <w:rFonts w:ascii="宋体" w:cs="宋体"/>
                <w:color w:val="000000"/>
                <w:kern w:val="0"/>
                <w:szCs w:val="21"/>
              </w:rPr>
            </w:pPr>
          </w:p>
        </w:tc>
        <w:tc>
          <w:tcPr>
            <w:tcW w:w="3947" w:type="pct"/>
          </w:tcPr>
          <w:p>
            <w:pPr>
              <w:spacing w:line="360" w:lineRule="auto"/>
              <w:jc w:val="left"/>
              <w:rPr>
                <w:rFonts w:ascii="宋体" w:cs="宋体"/>
                <w:color w:val="000000"/>
                <w:kern w:val="0"/>
                <w:szCs w:val="21"/>
              </w:rPr>
            </w:pPr>
            <w:r>
              <w:rPr>
                <w:rFonts w:ascii="宋体" w:hAnsi="宋体" w:cs="宋体"/>
                <w:color w:val="000000"/>
                <w:kern w:val="0"/>
                <w:szCs w:val="21"/>
              </w:rPr>
              <w:t>3.5</w:t>
            </w:r>
            <w:r>
              <w:rPr>
                <w:rFonts w:hint="eastAsia" w:ascii="宋体" w:hAnsi="宋体" w:cs="宋体"/>
                <w:color w:val="000000"/>
                <w:kern w:val="0"/>
                <w:szCs w:val="21"/>
              </w:rPr>
              <w:t>能够使用书面和口头表达方式与业界同行、社会公众就本专业领域现象和问题进行有效沟通与交流。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1053" w:type="pct"/>
            <w:vMerge w:val="continue"/>
            <w:vAlign w:val="center"/>
          </w:tcPr>
          <w:p>
            <w:pPr>
              <w:widowControl/>
              <w:jc w:val="left"/>
              <w:rPr>
                <w:rFonts w:ascii="宋体" w:cs="宋体"/>
                <w:color w:val="000000"/>
                <w:kern w:val="0"/>
                <w:szCs w:val="21"/>
              </w:rPr>
            </w:pPr>
          </w:p>
        </w:tc>
        <w:tc>
          <w:tcPr>
            <w:tcW w:w="3947" w:type="pct"/>
          </w:tcPr>
          <w:p>
            <w:pPr>
              <w:spacing w:line="360" w:lineRule="auto"/>
              <w:jc w:val="left"/>
              <w:rPr>
                <w:rFonts w:ascii="宋体" w:cs="宋体"/>
                <w:color w:val="000000"/>
                <w:kern w:val="0"/>
                <w:szCs w:val="21"/>
              </w:rPr>
            </w:pPr>
            <w:r>
              <w:rPr>
                <w:rFonts w:ascii="宋体" w:hAnsi="宋体" w:cs="宋体"/>
                <w:color w:val="000000"/>
                <w:kern w:val="0"/>
                <w:szCs w:val="21"/>
              </w:rPr>
              <w:t>3.6</w:t>
            </w:r>
            <w:r>
              <w:rPr>
                <w:rFonts w:hint="eastAsia" w:ascii="宋体" w:hAnsi="宋体" w:cs="宋体"/>
                <w:color w:val="000000"/>
                <w:kern w:val="0"/>
                <w:szCs w:val="21"/>
              </w:rPr>
              <w:t>具有团队协作意识，能够在本学科及多学科团队活动中发挥个人能力并与其他成员进行协调合作。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053" w:type="pct"/>
            <w:vMerge w:val="continue"/>
            <w:vAlign w:val="center"/>
          </w:tcPr>
          <w:p>
            <w:pPr>
              <w:widowControl/>
              <w:jc w:val="left"/>
              <w:rPr>
                <w:rFonts w:ascii="宋体" w:cs="宋体"/>
                <w:b/>
                <w:color w:val="000000"/>
                <w:kern w:val="0"/>
                <w:szCs w:val="21"/>
              </w:rPr>
            </w:pPr>
          </w:p>
        </w:tc>
        <w:tc>
          <w:tcPr>
            <w:tcW w:w="3947" w:type="pct"/>
          </w:tcPr>
          <w:p>
            <w:pPr>
              <w:pStyle w:val="6"/>
              <w:spacing w:line="360" w:lineRule="auto"/>
              <w:ind w:firstLine="0" w:firstLineChars="0"/>
              <w:rPr>
                <w:rFonts w:ascii="宋体" w:cs="宋体"/>
                <w:color w:val="000000"/>
                <w:kern w:val="0"/>
                <w:szCs w:val="21"/>
              </w:rPr>
            </w:pPr>
            <w:r>
              <w:rPr>
                <w:rFonts w:ascii="宋体" w:hAnsi="宋体" w:cs="宋体"/>
                <w:color w:val="000000"/>
                <w:kern w:val="0"/>
                <w:szCs w:val="21"/>
              </w:rPr>
              <w:t>3.7</w:t>
            </w:r>
            <w:r>
              <w:rPr>
                <w:rFonts w:hint="eastAsia" w:ascii="宋体" w:hAnsi="宋体" w:cs="宋体"/>
                <w:color w:val="000000"/>
                <w:kern w:val="0"/>
                <w:szCs w:val="21"/>
              </w:rPr>
              <w:t>具有自主学习和终身学习意识，有创新能力及不断学习与适应发展的能力。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053" w:type="pct"/>
            <w:vMerge w:val="continue"/>
            <w:vAlign w:val="center"/>
          </w:tcPr>
          <w:p>
            <w:pPr>
              <w:widowControl/>
              <w:jc w:val="left"/>
              <w:rPr>
                <w:rFonts w:ascii="宋体" w:cs="宋体"/>
                <w:b/>
                <w:color w:val="000000"/>
                <w:kern w:val="0"/>
                <w:szCs w:val="21"/>
              </w:rPr>
            </w:pPr>
          </w:p>
        </w:tc>
        <w:tc>
          <w:tcPr>
            <w:tcW w:w="3947" w:type="pct"/>
          </w:tcPr>
          <w:p>
            <w:pPr>
              <w:pStyle w:val="6"/>
              <w:spacing w:line="360" w:lineRule="auto"/>
              <w:ind w:firstLine="0" w:firstLineChars="0"/>
              <w:rPr>
                <w:rFonts w:ascii="宋体" w:cs="宋体"/>
                <w:color w:val="000000"/>
                <w:kern w:val="0"/>
                <w:szCs w:val="21"/>
              </w:rPr>
            </w:pPr>
            <w:r>
              <w:rPr>
                <w:rFonts w:ascii="宋体" w:hAnsi="宋体" w:cs="宋体"/>
                <w:color w:val="000000"/>
                <w:kern w:val="0"/>
                <w:szCs w:val="21"/>
              </w:rPr>
              <w:t>3.8</w:t>
            </w:r>
            <w:r>
              <w:rPr>
                <w:rFonts w:hint="eastAsia" w:ascii="宋体" w:hAnsi="宋体" w:cs="宋体"/>
                <w:color w:val="000000"/>
                <w:kern w:val="0"/>
                <w:szCs w:val="21"/>
              </w:rPr>
              <w:t>具有人文社会科学素养和社会责任感，熟悉本专业领域相关政策、法律、法规，并能够在本专业领域实践活动中理解并遵守职业道德和职业规范。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053" w:type="pct"/>
            <w:vMerge w:val="restart"/>
            <w:vAlign w:val="center"/>
          </w:tcPr>
          <w:p>
            <w:pPr>
              <w:jc w:val="center"/>
              <w:rPr>
                <w:rFonts w:ascii="宋体" w:cs="宋体"/>
                <w:b/>
                <w:color w:val="000000"/>
                <w:kern w:val="0"/>
                <w:szCs w:val="21"/>
              </w:rPr>
            </w:pPr>
            <w:r>
              <w:rPr>
                <w:rFonts w:hint="eastAsia" w:ascii="宋体" w:hAnsi="宋体" w:cs="宋体"/>
                <w:color w:val="000000"/>
                <w:kern w:val="0"/>
                <w:szCs w:val="21"/>
              </w:rPr>
              <w:t>课程体系</w:t>
            </w:r>
          </w:p>
        </w:tc>
        <w:tc>
          <w:tcPr>
            <w:tcW w:w="3947" w:type="pct"/>
          </w:tcPr>
          <w:p>
            <w:pPr>
              <w:spacing w:line="360" w:lineRule="auto"/>
              <w:jc w:val="left"/>
              <w:rPr>
                <w:rFonts w:ascii="宋体" w:cs="宋体"/>
                <w:color w:val="000000"/>
                <w:kern w:val="0"/>
                <w:szCs w:val="21"/>
              </w:rPr>
            </w:pPr>
            <w:r>
              <w:rPr>
                <w:rFonts w:ascii="宋体" w:hAnsi="宋体" w:cs="宋体"/>
                <w:color w:val="000000"/>
                <w:kern w:val="0"/>
                <w:szCs w:val="21"/>
              </w:rPr>
              <w:t xml:space="preserve">4.1 </w:t>
            </w:r>
            <w:r>
              <w:rPr>
                <w:rFonts w:hint="eastAsia" w:ascii="宋体" w:hAnsi="宋体" w:cs="宋体"/>
                <w:color w:val="000000"/>
                <w:kern w:val="0"/>
                <w:szCs w:val="21"/>
              </w:rPr>
              <w:t>专业设置的课程体系应能够支撑本专业学习成果要求的达成。课程体系设计有本专业领域务实部门专家参与。课程体系必须包括：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1053" w:type="pct"/>
            <w:vMerge w:val="continue"/>
            <w:vAlign w:val="center"/>
          </w:tcPr>
          <w:p>
            <w:pPr>
              <w:widowControl/>
              <w:jc w:val="center"/>
              <w:rPr>
                <w:rFonts w:ascii="宋体" w:cs="宋体"/>
                <w:color w:val="000000"/>
                <w:kern w:val="0"/>
                <w:szCs w:val="21"/>
              </w:rPr>
            </w:pPr>
          </w:p>
        </w:tc>
        <w:tc>
          <w:tcPr>
            <w:tcW w:w="3947" w:type="pct"/>
          </w:tcPr>
          <w:p>
            <w:pPr>
              <w:widowControl/>
              <w:spacing w:line="360" w:lineRule="auto"/>
              <w:jc w:val="left"/>
              <w:rPr>
                <w:rFonts w:ascii="宋体" w:cs="宋体"/>
                <w:color w:val="000000"/>
                <w:kern w:val="0"/>
                <w:szCs w:val="21"/>
              </w:rPr>
            </w:pPr>
            <w:r>
              <w:rPr>
                <w:rFonts w:ascii="宋体" w:cs="宋体"/>
                <w:color w:val="000000"/>
                <w:kern w:val="0"/>
                <w:szCs w:val="21"/>
              </w:rPr>
              <w:t>4.2</w:t>
            </w:r>
            <w:r>
              <w:rPr>
                <w:rFonts w:hint="eastAsia" w:ascii="宋体" w:cs="宋体"/>
                <w:color w:val="000000"/>
                <w:kern w:val="0"/>
                <w:szCs w:val="21"/>
              </w:rPr>
              <w:t>与本专业学习成果要求相适应的通识教育类课程。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053" w:type="pct"/>
            <w:vMerge w:val="continue"/>
            <w:vAlign w:val="center"/>
          </w:tcPr>
          <w:p>
            <w:pPr>
              <w:widowControl/>
              <w:jc w:val="left"/>
              <w:rPr>
                <w:rFonts w:ascii="宋体" w:cs="宋体"/>
                <w:color w:val="000000"/>
                <w:kern w:val="0"/>
                <w:szCs w:val="21"/>
              </w:rPr>
            </w:pPr>
          </w:p>
        </w:tc>
        <w:tc>
          <w:tcPr>
            <w:tcW w:w="3947" w:type="pct"/>
          </w:tcPr>
          <w:p>
            <w:pPr>
              <w:widowControl/>
              <w:spacing w:line="360" w:lineRule="auto"/>
              <w:jc w:val="left"/>
              <w:rPr>
                <w:rFonts w:ascii="宋体" w:cs="宋体"/>
                <w:color w:val="000000"/>
                <w:kern w:val="0"/>
                <w:szCs w:val="21"/>
              </w:rPr>
            </w:pPr>
            <w:r>
              <w:rPr>
                <w:rFonts w:ascii="宋体" w:hAnsi="宋体" w:cs="宋体"/>
                <w:color w:val="000000"/>
                <w:kern w:val="0"/>
                <w:szCs w:val="21"/>
              </w:rPr>
              <w:t>4.3</w:t>
            </w:r>
            <w:r>
              <w:rPr>
                <w:rFonts w:hint="eastAsia" w:ascii="宋体" w:cs="宋体"/>
                <w:color w:val="000000"/>
                <w:kern w:val="0"/>
                <w:szCs w:val="21"/>
              </w:rPr>
              <w:t>与本专业学习成果要求相适应的</w:t>
            </w:r>
            <w:r>
              <w:rPr>
                <w:rFonts w:hint="eastAsia" w:ascii="宋体" w:hAnsi="宋体" w:cs="宋体"/>
                <w:color w:val="000000"/>
                <w:kern w:val="0"/>
                <w:szCs w:val="21"/>
              </w:rPr>
              <w:t>学科基础类课程、专业基础类课程与专业类课程。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1053" w:type="pct"/>
            <w:vMerge w:val="continue"/>
            <w:vAlign w:val="center"/>
          </w:tcPr>
          <w:p>
            <w:pPr>
              <w:widowControl/>
              <w:jc w:val="left"/>
              <w:rPr>
                <w:rFonts w:ascii="宋体" w:cs="宋体"/>
                <w:color w:val="000000"/>
                <w:kern w:val="0"/>
                <w:szCs w:val="21"/>
              </w:rPr>
            </w:pPr>
          </w:p>
        </w:tc>
        <w:tc>
          <w:tcPr>
            <w:tcW w:w="3947" w:type="pct"/>
          </w:tcPr>
          <w:p>
            <w:pPr>
              <w:widowControl/>
              <w:spacing w:line="360" w:lineRule="auto"/>
              <w:jc w:val="left"/>
              <w:rPr>
                <w:rFonts w:ascii="宋体" w:cs="宋体"/>
                <w:color w:val="000000"/>
                <w:kern w:val="0"/>
                <w:szCs w:val="21"/>
              </w:rPr>
            </w:pPr>
            <w:r>
              <w:rPr>
                <w:rFonts w:ascii="宋体" w:hAnsi="宋体" w:cs="宋体"/>
                <w:color w:val="000000"/>
                <w:kern w:val="0"/>
                <w:szCs w:val="21"/>
              </w:rPr>
              <w:t>4.4</w:t>
            </w:r>
            <w:r>
              <w:rPr>
                <w:rFonts w:hint="eastAsia" w:ascii="宋体" w:cs="宋体"/>
                <w:color w:val="000000"/>
                <w:kern w:val="0"/>
                <w:szCs w:val="21"/>
              </w:rPr>
              <w:t>与本专业学习成果要求相适应的</w:t>
            </w:r>
            <w:r>
              <w:rPr>
                <w:rFonts w:hint="eastAsia" w:ascii="宋体" w:hAnsi="宋体" w:cs="宋体"/>
                <w:color w:val="000000"/>
                <w:kern w:val="0"/>
                <w:szCs w:val="21"/>
              </w:rPr>
              <w:t>实践教学与毕业论文（设计），并有本专业领域务实部门专家参与。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1053" w:type="pct"/>
            <w:vMerge w:val="restart"/>
            <w:vAlign w:val="center"/>
          </w:tcPr>
          <w:p>
            <w:pPr>
              <w:widowControl/>
              <w:jc w:val="center"/>
              <w:rPr>
                <w:rFonts w:ascii="宋体" w:cs="宋体"/>
                <w:color w:val="000000"/>
                <w:kern w:val="0"/>
                <w:szCs w:val="21"/>
              </w:rPr>
            </w:pPr>
            <w:r>
              <w:rPr>
                <w:rFonts w:hint="eastAsia" w:ascii="宋体" w:hAnsi="宋体" w:cs="宋体"/>
                <w:color w:val="000000"/>
                <w:kern w:val="0"/>
                <w:szCs w:val="21"/>
              </w:rPr>
              <w:t>师资队伍</w:t>
            </w:r>
          </w:p>
        </w:tc>
        <w:tc>
          <w:tcPr>
            <w:tcW w:w="3947" w:type="pct"/>
          </w:tcPr>
          <w:p>
            <w:pPr>
              <w:widowControl/>
              <w:spacing w:line="360" w:lineRule="auto"/>
              <w:jc w:val="left"/>
              <w:rPr>
                <w:rFonts w:ascii="宋体" w:cs="宋体"/>
                <w:color w:val="000000"/>
                <w:kern w:val="0"/>
                <w:szCs w:val="21"/>
              </w:rPr>
            </w:pPr>
            <w:r>
              <w:rPr>
                <w:rFonts w:ascii="宋体" w:hAnsi="宋体" w:cs="宋体"/>
                <w:color w:val="000000"/>
                <w:kern w:val="0"/>
                <w:szCs w:val="21"/>
              </w:rPr>
              <w:t xml:space="preserve">5.1 </w:t>
            </w:r>
            <w:r>
              <w:rPr>
                <w:rFonts w:hint="eastAsia" w:ascii="宋体" w:hAnsi="宋体" w:cs="宋体"/>
                <w:color w:val="000000"/>
                <w:kern w:val="0"/>
                <w:szCs w:val="21"/>
              </w:rPr>
              <w:t>教师数量足够、结构合理，教学能力、专业水平和务实工作经验满足教学需要并能有效支持专业学习成果要求的达成，且有本专业领域务实部门专家作为兼职教师。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1053" w:type="pct"/>
            <w:vMerge w:val="continue"/>
            <w:vAlign w:val="center"/>
          </w:tcPr>
          <w:p>
            <w:pPr>
              <w:widowControl/>
              <w:jc w:val="left"/>
              <w:rPr>
                <w:rFonts w:ascii="宋体" w:cs="宋体"/>
                <w:color w:val="000000"/>
                <w:kern w:val="0"/>
                <w:szCs w:val="21"/>
              </w:rPr>
            </w:pPr>
          </w:p>
        </w:tc>
        <w:tc>
          <w:tcPr>
            <w:tcW w:w="3947" w:type="pct"/>
          </w:tcPr>
          <w:p>
            <w:pPr>
              <w:widowControl/>
              <w:spacing w:line="360" w:lineRule="auto"/>
              <w:jc w:val="left"/>
              <w:rPr>
                <w:rFonts w:ascii="宋体" w:cs="宋体"/>
                <w:color w:val="000000"/>
                <w:kern w:val="0"/>
                <w:szCs w:val="21"/>
              </w:rPr>
            </w:pPr>
            <w:r>
              <w:rPr>
                <w:rFonts w:ascii="宋体" w:hAnsi="宋体" w:cs="宋体"/>
                <w:color w:val="000000"/>
                <w:kern w:val="0"/>
                <w:szCs w:val="21"/>
              </w:rPr>
              <w:t>5.2</w:t>
            </w:r>
            <w:r>
              <w:rPr>
                <w:rFonts w:hint="eastAsia" w:ascii="宋体" w:hAnsi="宋体" w:cs="宋体"/>
                <w:color w:val="000000"/>
                <w:kern w:val="0"/>
                <w:szCs w:val="21"/>
              </w:rPr>
              <w:t>教师应能够明确自己承担的教学任务和要求，有足够时间和精力投入到课堂教学和学生指导，并积极参与教学研究与改革。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053" w:type="pct"/>
            <w:vMerge w:val="continue"/>
            <w:vAlign w:val="center"/>
          </w:tcPr>
          <w:p>
            <w:pPr>
              <w:widowControl/>
              <w:jc w:val="left"/>
              <w:rPr>
                <w:rFonts w:ascii="宋体" w:cs="宋体"/>
                <w:color w:val="000000"/>
                <w:kern w:val="0"/>
                <w:szCs w:val="21"/>
              </w:rPr>
            </w:pPr>
          </w:p>
        </w:tc>
        <w:tc>
          <w:tcPr>
            <w:tcW w:w="3947" w:type="pct"/>
          </w:tcPr>
          <w:p>
            <w:pPr>
              <w:widowControl/>
              <w:spacing w:line="360" w:lineRule="auto"/>
              <w:jc w:val="left"/>
              <w:rPr>
                <w:rFonts w:ascii="宋体" w:cs="宋体"/>
                <w:color w:val="000000"/>
                <w:kern w:val="0"/>
                <w:szCs w:val="21"/>
              </w:rPr>
            </w:pPr>
            <w:r>
              <w:rPr>
                <w:rFonts w:ascii="宋体" w:hAnsi="宋体" w:cs="宋体"/>
                <w:color w:val="000000"/>
                <w:kern w:val="0"/>
                <w:szCs w:val="21"/>
              </w:rPr>
              <w:t>5.3</w:t>
            </w:r>
            <w:r>
              <w:rPr>
                <w:rFonts w:hint="eastAsia" w:ascii="宋体" w:hAnsi="宋体" w:cs="宋体"/>
                <w:color w:val="000000"/>
                <w:kern w:val="0"/>
                <w:szCs w:val="21"/>
              </w:rPr>
              <w:t>教师应能够明确自己在教学质量提升过程中的责任，并依据学生学习表现及形成评价结果不断改进工作。</w:t>
            </w:r>
            <w:r>
              <w:rPr>
                <w:rFonts w:ascii="宋体" w:hAnsi="宋体" w:cs="宋体"/>
                <w:color w:val="000000"/>
                <w:kern w:val="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053" w:type="pct"/>
            <w:vMerge w:val="continue"/>
            <w:vAlign w:val="center"/>
          </w:tcPr>
          <w:p>
            <w:pPr>
              <w:widowControl/>
              <w:jc w:val="left"/>
              <w:rPr>
                <w:rFonts w:ascii="宋体" w:cs="宋体"/>
                <w:color w:val="000000"/>
                <w:kern w:val="0"/>
                <w:szCs w:val="21"/>
              </w:rPr>
            </w:pPr>
          </w:p>
        </w:tc>
        <w:tc>
          <w:tcPr>
            <w:tcW w:w="3947" w:type="pct"/>
          </w:tcPr>
          <w:p>
            <w:pPr>
              <w:widowControl/>
              <w:spacing w:line="360" w:lineRule="auto"/>
              <w:jc w:val="left"/>
              <w:rPr>
                <w:rFonts w:ascii="宋体" w:cs="宋体"/>
                <w:color w:val="000000"/>
                <w:kern w:val="0"/>
                <w:szCs w:val="21"/>
              </w:rPr>
            </w:pPr>
            <w:r>
              <w:rPr>
                <w:rFonts w:ascii="宋体" w:hAnsi="宋体" w:cs="宋体"/>
                <w:color w:val="000000"/>
                <w:kern w:val="0"/>
                <w:szCs w:val="21"/>
              </w:rPr>
              <w:t xml:space="preserve">5.4 </w:t>
            </w:r>
            <w:r>
              <w:rPr>
                <w:rFonts w:hint="eastAsia" w:ascii="宋体" w:hAnsi="宋体" w:cs="宋体"/>
                <w:color w:val="000000"/>
                <w:kern w:val="0"/>
                <w:szCs w:val="21"/>
              </w:rPr>
              <w:t>学校和院系应建有教师职业发展制度，能够定期为教师特别是青年教师提供业务培训、学术交流、在职进修等职业发展机会，有效支持教师提升教学水平和专业能力。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1053" w:type="pct"/>
            <w:vMerge w:val="restart"/>
            <w:vAlign w:val="center"/>
          </w:tcPr>
          <w:p>
            <w:pPr>
              <w:widowControl/>
              <w:jc w:val="center"/>
              <w:rPr>
                <w:rFonts w:ascii="宋体" w:cs="宋体"/>
                <w:color w:val="000000"/>
                <w:kern w:val="0"/>
                <w:szCs w:val="21"/>
              </w:rPr>
            </w:pPr>
            <w:r>
              <w:rPr>
                <w:rFonts w:hint="eastAsia" w:ascii="宋体" w:hAnsi="宋体" w:cs="宋体"/>
                <w:color w:val="000000"/>
                <w:kern w:val="0"/>
                <w:szCs w:val="21"/>
              </w:rPr>
              <w:t>教学资源</w:t>
            </w:r>
          </w:p>
        </w:tc>
        <w:tc>
          <w:tcPr>
            <w:tcW w:w="3947" w:type="pct"/>
          </w:tcPr>
          <w:p>
            <w:pPr>
              <w:widowControl/>
              <w:spacing w:line="360" w:lineRule="auto"/>
              <w:jc w:val="left"/>
              <w:rPr>
                <w:rFonts w:ascii="宋体" w:cs="宋体"/>
                <w:color w:val="000000"/>
                <w:kern w:val="0"/>
                <w:szCs w:val="21"/>
              </w:rPr>
            </w:pPr>
            <w:r>
              <w:rPr>
                <w:rFonts w:ascii="宋体" w:hAnsi="宋体" w:cs="宋体"/>
                <w:color w:val="000000"/>
                <w:kern w:val="0"/>
                <w:szCs w:val="21"/>
              </w:rPr>
              <w:t>6.1</w:t>
            </w:r>
            <w:r>
              <w:rPr>
                <w:rFonts w:hint="eastAsia" w:ascii="宋体" w:hAnsi="宋体" w:cs="宋体"/>
                <w:color w:val="000000"/>
                <w:kern w:val="0"/>
                <w:szCs w:val="21"/>
              </w:rPr>
              <w:t>学校和院系教学设施、公共基础设施和图书资源资源在数量和功能上能够满足学生学习及教师日常教学科研需要。建有良好的管理、维护、更新和共享机制并有效实施，保证学生和教师能够方便使用。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trPr>
        <w:tc>
          <w:tcPr>
            <w:tcW w:w="1053" w:type="pct"/>
            <w:vMerge w:val="continue"/>
            <w:vAlign w:val="center"/>
          </w:tcPr>
          <w:p>
            <w:pPr>
              <w:widowControl/>
              <w:jc w:val="center"/>
              <w:rPr>
                <w:rFonts w:ascii="宋体" w:cs="宋体"/>
                <w:color w:val="000000"/>
                <w:kern w:val="0"/>
                <w:szCs w:val="21"/>
              </w:rPr>
            </w:pPr>
          </w:p>
        </w:tc>
        <w:tc>
          <w:tcPr>
            <w:tcW w:w="3947" w:type="pct"/>
          </w:tcPr>
          <w:p>
            <w:pPr>
              <w:spacing w:line="360" w:lineRule="auto"/>
              <w:jc w:val="left"/>
              <w:rPr>
                <w:rFonts w:ascii="宋体" w:cs="宋体"/>
                <w:color w:val="000000"/>
                <w:kern w:val="0"/>
                <w:szCs w:val="21"/>
              </w:rPr>
            </w:pPr>
            <w:r>
              <w:rPr>
                <w:rFonts w:ascii="宋体" w:hAnsi="宋体" w:cs="宋体"/>
                <w:color w:val="000000"/>
                <w:kern w:val="0"/>
                <w:szCs w:val="21"/>
              </w:rPr>
              <w:t>6.2</w:t>
            </w:r>
            <w:r>
              <w:rPr>
                <w:rFonts w:hint="eastAsia" w:ascii="宋体" w:hAnsi="宋体" w:cs="宋体"/>
                <w:color w:val="000000"/>
                <w:kern w:val="0"/>
                <w:szCs w:val="21"/>
              </w:rPr>
              <w:t>学校和院系应与本专业领域务实部门合作共建实习实训基地，在教学过程中为学生的实践活动和创新活动提供有效支持。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1053" w:type="pct"/>
            <w:vMerge w:val="continue"/>
            <w:vAlign w:val="center"/>
          </w:tcPr>
          <w:p>
            <w:pPr>
              <w:widowControl/>
              <w:jc w:val="center"/>
              <w:rPr>
                <w:rFonts w:ascii="宋体" w:cs="宋体"/>
                <w:color w:val="000000"/>
                <w:kern w:val="0"/>
                <w:szCs w:val="21"/>
              </w:rPr>
            </w:pPr>
          </w:p>
        </w:tc>
        <w:tc>
          <w:tcPr>
            <w:tcW w:w="3947" w:type="pct"/>
          </w:tcPr>
          <w:p>
            <w:pPr>
              <w:spacing w:line="360" w:lineRule="auto"/>
              <w:jc w:val="left"/>
              <w:rPr>
                <w:rFonts w:ascii="宋体" w:cs="宋体"/>
                <w:color w:val="000000"/>
                <w:kern w:val="0"/>
                <w:szCs w:val="21"/>
              </w:rPr>
            </w:pPr>
            <w:r>
              <w:rPr>
                <w:rFonts w:ascii="宋体" w:hAnsi="宋体" w:cs="宋体"/>
                <w:color w:val="000000"/>
                <w:kern w:val="0"/>
                <w:szCs w:val="21"/>
              </w:rPr>
              <w:t>6.3</w:t>
            </w:r>
            <w:r>
              <w:rPr>
                <w:rFonts w:hint="eastAsia" w:ascii="宋体" w:hAnsi="宋体" w:cs="宋体"/>
                <w:color w:val="000000"/>
                <w:kern w:val="0"/>
                <w:szCs w:val="21"/>
              </w:rPr>
              <w:t>学校和院系教学经费充足，教学管理与服务规范，能够有效地支持本专业学习成果要求的达成。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053" w:type="pct"/>
            <w:vMerge w:val="restart"/>
            <w:vAlign w:val="center"/>
          </w:tcPr>
          <w:p>
            <w:pPr>
              <w:widowControl/>
              <w:jc w:val="center"/>
              <w:rPr>
                <w:rFonts w:ascii="宋体" w:cs="宋体"/>
                <w:color w:val="000000"/>
                <w:kern w:val="0"/>
                <w:szCs w:val="21"/>
              </w:rPr>
            </w:pPr>
            <w:r>
              <w:rPr>
                <w:rFonts w:hint="eastAsia" w:ascii="宋体" w:hAnsi="宋体" w:cs="宋体"/>
                <w:color w:val="000000"/>
                <w:kern w:val="0"/>
                <w:szCs w:val="21"/>
              </w:rPr>
              <w:t>质量保障</w:t>
            </w:r>
          </w:p>
        </w:tc>
        <w:tc>
          <w:tcPr>
            <w:tcW w:w="3947" w:type="pct"/>
          </w:tcPr>
          <w:p>
            <w:pPr>
              <w:widowControl/>
              <w:spacing w:line="360" w:lineRule="auto"/>
              <w:jc w:val="left"/>
              <w:rPr>
                <w:rFonts w:ascii="宋体" w:cs="宋体"/>
                <w:color w:val="000000"/>
                <w:kern w:val="0"/>
                <w:szCs w:val="21"/>
              </w:rPr>
            </w:pPr>
            <w:r>
              <w:rPr>
                <w:rFonts w:ascii="宋体" w:hAnsi="宋体" w:cs="宋体"/>
                <w:color w:val="000000"/>
                <w:kern w:val="0"/>
                <w:szCs w:val="21"/>
              </w:rPr>
              <w:t>7.1</w:t>
            </w:r>
            <w:r>
              <w:rPr>
                <w:rFonts w:hint="eastAsia" w:ascii="宋体" w:hAnsi="宋体" w:cs="宋体"/>
                <w:color w:val="000000"/>
                <w:kern w:val="0"/>
                <w:szCs w:val="21"/>
              </w:rPr>
              <w:t>专业应建有内部质量保障体系，各主要教学环节有明确的质量要求，对各教学环节实施过程监控和定期质量评价，评价结果应在一定范围内公开。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053" w:type="pct"/>
            <w:vMerge w:val="continue"/>
            <w:vAlign w:val="center"/>
          </w:tcPr>
          <w:p>
            <w:pPr>
              <w:widowControl/>
              <w:jc w:val="left"/>
              <w:rPr>
                <w:rFonts w:ascii="宋体" w:cs="宋体"/>
                <w:color w:val="000000"/>
                <w:kern w:val="0"/>
                <w:szCs w:val="21"/>
              </w:rPr>
            </w:pPr>
          </w:p>
        </w:tc>
        <w:tc>
          <w:tcPr>
            <w:tcW w:w="3947" w:type="pct"/>
          </w:tcPr>
          <w:p>
            <w:pPr>
              <w:widowControl/>
              <w:spacing w:line="360" w:lineRule="auto"/>
              <w:jc w:val="left"/>
              <w:rPr>
                <w:rFonts w:ascii="宋体" w:cs="宋体"/>
                <w:color w:val="000000"/>
                <w:kern w:val="0"/>
                <w:szCs w:val="21"/>
              </w:rPr>
            </w:pPr>
            <w:r>
              <w:rPr>
                <w:rFonts w:ascii="宋体" w:hAnsi="宋体" w:cs="宋体"/>
                <w:color w:val="000000"/>
                <w:kern w:val="0"/>
                <w:szCs w:val="21"/>
              </w:rPr>
              <w:t>7.2</w:t>
            </w:r>
            <w:r>
              <w:rPr>
                <w:rFonts w:hint="eastAsia" w:ascii="宋体" w:hAnsi="宋体" w:cs="宋体"/>
                <w:color w:val="000000"/>
                <w:kern w:val="0"/>
                <w:szCs w:val="21"/>
              </w:rPr>
              <w:t>专业建有毕业生跟踪反馈、用人单位满意度调查等外部评价机制，能够对培养目标的达成情况进行定期评价。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053" w:type="pct"/>
            <w:vMerge w:val="continue"/>
            <w:vAlign w:val="center"/>
          </w:tcPr>
          <w:p>
            <w:pPr>
              <w:widowControl/>
              <w:jc w:val="left"/>
              <w:rPr>
                <w:rFonts w:ascii="宋体" w:cs="宋体"/>
                <w:color w:val="000000"/>
                <w:kern w:val="0"/>
                <w:szCs w:val="21"/>
              </w:rPr>
            </w:pPr>
          </w:p>
        </w:tc>
        <w:tc>
          <w:tcPr>
            <w:tcW w:w="3947" w:type="pct"/>
          </w:tcPr>
          <w:p>
            <w:pPr>
              <w:widowControl/>
              <w:spacing w:line="360" w:lineRule="auto"/>
              <w:jc w:val="left"/>
              <w:rPr>
                <w:rFonts w:ascii="宋体" w:cs="宋体"/>
                <w:color w:val="000000"/>
                <w:kern w:val="0"/>
                <w:szCs w:val="21"/>
              </w:rPr>
            </w:pPr>
            <w:r>
              <w:rPr>
                <w:rFonts w:ascii="宋体" w:hAnsi="宋体" w:cs="宋体"/>
                <w:color w:val="000000"/>
                <w:kern w:val="0"/>
                <w:szCs w:val="21"/>
              </w:rPr>
              <w:t xml:space="preserve">7.3 </w:t>
            </w:r>
            <w:r>
              <w:rPr>
                <w:rFonts w:hint="eastAsia" w:ascii="宋体" w:hAnsi="宋体" w:cs="宋体"/>
                <w:color w:val="000000"/>
                <w:kern w:val="0"/>
                <w:szCs w:val="21"/>
              </w:rPr>
              <w:t>专业定期收集内外部评价信息进行综合分析，并能够将分析结果用于专业的持续改进。</w:t>
            </w:r>
          </w:p>
        </w:tc>
      </w:tr>
    </w:tbl>
    <w:p>
      <w:pPr>
        <w:rPr>
          <w:rFonts w:ascii="宋体"/>
        </w:rPr>
      </w:pPr>
    </w:p>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0416"/>
    <w:rsid w:val="000054FE"/>
    <w:rsid w:val="00037923"/>
    <w:rsid w:val="000C64DF"/>
    <w:rsid w:val="000E2237"/>
    <w:rsid w:val="000E65C0"/>
    <w:rsid w:val="001267F1"/>
    <w:rsid w:val="00273698"/>
    <w:rsid w:val="002D5B08"/>
    <w:rsid w:val="003F5BA5"/>
    <w:rsid w:val="00466B1F"/>
    <w:rsid w:val="00477DDE"/>
    <w:rsid w:val="00546CB8"/>
    <w:rsid w:val="005C3119"/>
    <w:rsid w:val="0069409E"/>
    <w:rsid w:val="00736B1D"/>
    <w:rsid w:val="007D1825"/>
    <w:rsid w:val="007E46AE"/>
    <w:rsid w:val="00815B5F"/>
    <w:rsid w:val="008A7C19"/>
    <w:rsid w:val="00915374"/>
    <w:rsid w:val="0093685B"/>
    <w:rsid w:val="009E0416"/>
    <w:rsid w:val="00A036E6"/>
    <w:rsid w:val="00A07F2C"/>
    <w:rsid w:val="00A43C66"/>
    <w:rsid w:val="00AC66A0"/>
    <w:rsid w:val="00B05638"/>
    <w:rsid w:val="00D1716D"/>
    <w:rsid w:val="00D22131"/>
    <w:rsid w:val="00DC6A56"/>
    <w:rsid w:val="00FB1AEE"/>
    <w:rsid w:val="4FA11E4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
    <w:qFormat/>
    <w:uiPriority w:val="99"/>
    <w:pPr>
      <w:autoSpaceDE w:val="0"/>
      <w:autoSpaceDN w:val="0"/>
      <w:adjustRightInd w:val="0"/>
      <w:jc w:val="left"/>
      <w:outlineLvl w:val="0"/>
    </w:pPr>
    <w:rPr>
      <w:rFonts w:ascii="Verdana" w:hAnsi="Arial"/>
      <w:kern w:val="0"/>
      <w:sz w:val="38"/>
      <w:szCs w:val="38"/>
      <w:lang w:val="zh-CN"/>
    </w:rPr>
  </w:style>
  <w:style w:type="character" w:default="1" w:styleId="4">
    <w:name w:val="Default Paragraph Font"/>
    <w:semiHidden/>
    <w:qFormat/>
    <w:uiPriority w:val="99"/>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5">
    <w:name w:val="Heading 1 Char"/>
    <w:basedOn w:val="4"/>
    <w:link w:val="2"/>
    <w:qFormat/>
    <w:locked/>
    <w:uiPriority w:val="99"/>
    <w:rPr>
      <w:rFonts w:ascii="Verdana" w:hAnsi="Arial" w:eastAsia="宋体" w:cs="Times New Roman"/>
      <w:kern w:val="0"/>
      <w:sz w:val="38"/>
      <w:szCs w:val="38"/>
      <w:lang w:val="zh-CN"/>
    </w:rPr>
  </w:style>
  <w:style w:type="paragraph" w:styleId="6">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3</Pages>
  <Words>243</Words>
  <Characters>1390</Characters>
  <Lines>0</Lines>
  <Paragraphs>0</Paragraphs>
  <TotalTime>76</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2016-09-26T07:08:00Z</dcterms:created>
  <dc:creator>李卫明</dc:creator>
  <cp:lastModifiedBy>Administrator</cp:lastModifiedBy>
  <dcterms:modified xsi:type="dcterms:W3CDTF">2021-12-11T02:53:36Z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6C3E06022C1C4BF99DE17BD7F1C23B5B</vt:lpwstr>
  </property>
</Properties>
</file>